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251A9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68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Лебединцев В.Б. </w:t>
      </w:r>
      <w:r>
        <w:rPr>
          <w:rFonts w:hint="default" w:ascii="Times New Roman" w:hAnsi="Times New Roman" w:cs="Times New Roman"/>
          <w:sz w:val="28"/>
          <w:szCs w:val="28"/>
        </w:rPr>
        <w:t xml:space="preserve">Фронтально-парное учебное занятие – новый вариант продуктивного сочетания об-щеклассной работы и деятельности учащихся в парах // Народное образование. 2022. № 1. С. 180–191. </w:t>
      </w:r>
    </w:p>
    <w:p w14:paraId="4747E9D3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Структура фронтально-парного занятия </w:t>
      </w:r>
    </w:p>
    <w:p w14:paraId="18CD046B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Педагог разделяет своё объяснение на части. Относительно каждой из них разворачивается свой фронтально-парный цикл. Цикл состоит из четырёх тактов: </w:t>
      </w:r>
    </w:p>
    <w:p w14:paraId="3D6B9EDD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вброс </w:t>
      </w:r>
      <w:r>
        <w:rPr>
          <w:rFonts w:hint="default" w:ascii="Times New Roman" w:hAnsi="Times New Roman" w:cs="Times New Roman"/>
          <w:sz w:val="28"/>
          <w:szCs w:val="28"/>
        </w:rPr>
        <w:t xml:space="preserve">нового содержания; </w:t>
      </w:r>
    </w:p>
    <w:p w14:paraId="7FBF37CB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 формулирование задания учащимся по проработке изложенного фрагмента (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запуск парной работы</w:t>
      </w:r>
      <w:r>
        <w:rPr>
          <w:rFonts w:hint="default" w:ascii="Times New Roman" w:hAnsi="Times New Roman" w:cs="Times New Roman"/>
          <w:sz w:val="28"/>
          <w:szCs w:val="28"/>
        </w:rPr>
        <w:t xml:space="preserve">); </w:t>
      </w:r>
    </w:p>
    <w:p w14:paraId="70754665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выполнение задания в парах </w:t>
      </w:r>
      <w:r>
        <w:rPr>
          <w:rFonts w:hint="default" w:ascii="Times New Roman" w:hAnsi="Times New Roman" w:cs="Times New Roman"/>
          <w:sz w:val="28"/>
          <w:szCs w:val="28"/>
        </w:rPr>
        <w:t xml:space="preserve">(остановка для проработки вброшенного содержания); </w:t>
      </w:r>
    </w:p>
    <w:p w14:paraId="2A30A00F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акцентирование </w:t>
      </w:r>
      <w:r>
        <w:rPr>
          <w:rFonts w:hint="default" w:ascii="Times New Roman" w:hAnsi="Times New Roman" w:cs="Times New Roman"/>
          <w:sz w:val="28"/>
          <w:szCs w:val="28"/>
        </w:rPr>
        <w:t xml:space="preserve">(фронтально) разных содержательных и организационных моментов. 121 </w:t>
      </w:r>
    </w:p>
    <w:p w14:paraId="74ECDBDF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62C081D1">
      <w:pPr>
        <w:pStyle w:val="4"/>
        <w:pageBreakBefore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Стрелки на схеме показывают, вокруг чего на каждом этапе разво-рачивается деятельность (рис. 29). Фронтально-парный цикл – своеоб-разное кольцо вокруг одного элемента содержания. </w:t>
      </w:r>
    </w:p>
    <w:p w14:paraId="6436F415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Рис. 29.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 xml:space="preserve">Разные способы представить структуру фронтально-парного цикла </w:t>
      </w:r>
    </w:p>
    <w:p w14:paraId="3E9C6FAB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Таким образом, каждая часть фронтального объяснения прерыва-ется парной работой. ФПЗ – это несколько фронтально-парных циклов. Сколько циклов – каждый раз решается в конкретной ситуации.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Последу-ющие циклы могут развивать предыдущие, но могут быть содержательно независимыми друг от друга и даже быть из других образовательных обла-стей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В общем виде структуру ФПЗ можно представить следующим обра-зом (рис. 30). </w:t>
      </w:r>
    </w:p>
    <w:p w14:paraId="5054984B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Рис. 30.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 xml:space="preserve">Общая структура фронтально-парного занятия </w:t>
      </w:r>
    </w:p>
    <w:p w14:paraId="71FFA03D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Одиночный фронтально-парный цикл можно включать в любые за-нятия в качестве отдельного элемента (в этом случае такое занятие не следует называть фронтально-парным). 122 </w:t>
      </w:r>
    </w:p>
    <w:p w14:paraId="67E0197C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A625A95">
      <w:pPr>
        <w:pStyle w:val="4"/>
        <w:pageBreakBefore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Общие рекомендации по организации разных тактов фронтально-парного цикла </w:t>
      </w:r>
    </w:p>
    <w:p w14:paraId="6B07FA95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Данные рекомендации носят общий характер. В конкретной ситуа-ции и на конкретном материале будут свои нюансы. </w:t>
      </w:r>
    </w:p>
    <w:p w14:paraId="5D7229F0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1-й такт, вброс содержания.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Содержание своего объяснения педа-гог сопровождает схематическими записями на доске, последователь-ным предъявлением иллюстраций, которые крепятся на доску, выклады-ваем предметов на стол. Получается зрительная опора, чтобы в последу-ющем дети могли вспомнить, ведь устная речь летуча, быстро забыва-ется. Опора (из схем, иллюстраций, предметов) создаётся постепенно и не даётся в готовом виде. Слайдовые презентации использовать не сле-дует, они могут быть лишь дополнением. </w:t>
      </w:r>
    </w:p>
    <w:p w14:paraId="33097B8B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Педагог может вбросить содержание сам лично, но может путём об-ращения к детям с вопросами, обобщая затем их ответы. </w:t>
      </w:r>
    </w:p>
    <w:p w14:paraId="78A261FB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Правила вброса: </w:t>
      </w:r>
    </w:p>
    <w:p w14:paraId="3F21D108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• Сказать не много, а самое существенное. </w:t>
      </w:r>
    </w:p>
    <w:p w14:paraId="7E539AE2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• Делать такие записи на доске или предъявлять такие иллюстрации и предметы, которые затем дети смогут записать в паре на своём листе или тоже выложить. </w:t>
      </w:r>
    </w:p>
    <w:p w14:paraId="656B6B39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• Каждый новый фрагмент учебного материала фиксировать в новой схеме (даже если используются те же графические элементы). </w:t>
      </w:r>
    </w:p>
    <w:p w14:paraId="5D25FECF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2-й такт, запуск парной работы.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Педагог формулирует задание по восстановлению детьми прослушанного и увиденного материала. Ведь неслучайно используется слово «вброс» содержания. Вброс – это анало-гия с мячом, вброшенным команде игроков, которые играют именно с ним, а не с каким-либо другим мячом. Задания, позволяющие детям вос-становить вброшенное содержание, просты, вот несколько вариантов: </w:t>
      </w:r>
    </w:p>
    <w:p w14:paraId="21F49B00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• Пересказать объяснение воспитателя, показывая на лежащие на столе иллюстрации: один рассказывает, другой – дополняет. </w:t>
      </w:r>
    </w:p>
    <w:p w14:paraId="20A44B25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• Повторить действия воспитателя с предметами, лежащими на столе. Первый напарник повторяет одни действии, второй – другие. </w:t>
      </w:r>
    </w:p>
    <w:p w14:paraId="164B3869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• Задать по очереди друг другу по два вопроса, ответы на которые содержатся в объяснении воспитателя. Один напарник задаёт вопрос, второй – отвечает. Затем меняются ролями. </w:t>
      </w:r>
    </w:p>
    <w:p w14:paraId="75E2D9C6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• Объяснить друг другу схему: один напарник называет значения всех значков и фигур на схеме, второй – рассказывает (воспроизводит материал) по схеме. </w:t>
      </w:r>
    </w:p>
    <w:p w14:paraId="21CDA152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• Первый вариант рассказывает о …, второй вариант делает … 123 </w:t>
      </w:r>
    </w:p>
    <w:p w14:paraId="2E3C6070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7907DFC">
      <w:pPr>
        <w:pStyle w:val="4"/>
        <w:pageBreakBefore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Понятно, что когда один напарник рассказывает, показывает, рас-кладывает, другой внимательно слушает, исправляет, дополняет. Как ви-дим, задание для выполнения в паре предусматривает разделение ролей или этапов его выполнения. </w:t>
      </w:r>
    </w:p>
    <w:p w14:paraId="4274F7C0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>3-й такт, работа учащихся в парах и её отладка учителем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Назна-чение парной работы – восстановить только что изложенное. </w:t>
      </w:r>
    </w:p>
    <w:p w14:paraId="3B7CEE4A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Кроме разделения труда, есть другое важное условие плодотворной парной работы: на пару выдаётся одна ручка, один лист бумаги, один комплект карточек, фишек, иллюстраций, других предметов. Иначе вза-имодействие не состоится, каждый займётся своим делом. </w:t>
      </w:r>
    </w:p>
    <w:p w14:paraId="25BC5A00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Осуществляя откладку парной работы, педагог: </w:t>
      </w:r>
    </w:p>
    <w:p w14:paraId="344D6955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наблюдает и корректирует включённость пар в работу, разделение труда, качество и способ взаимодействия, активность каждого из напар-ников (в зоне особого внимания находятся конкретные пары), качествен-ный состав пар (в случае необходимости они оперативно могут ме-няться), психологический настрой и состояние учеников; оказывает по-мощь отдельным парам организовать взаимодействие и коммуникацию; </w:t>
      </w:r>
    </w:p>
    <w:p w14:paraId="63359017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б) корректирует содержание разговора и восстанавливаемой инфор-мации; </w:t>
      </w:r>
    </w:p>
    <w:p w14:paraId="5CAAA86B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в) вполголоса отвечает конкретным учащимся, задавшим вопросы по содержанию темы, не привлекая внимания других участников. </w:t>
      </w:r>
    </w:p>
    <w:p w14:paraId="068AA261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4-й такт, акцентирование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по содержанию вброса и способу взаимо-действия в парах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Оно осуществляется во фронтальной форме. </w:t>
      </w:r>
    </w:p>
    <w:p w14:paraId="10FF6A28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Воспитателю важно, с одной стороны, проверить, что уяснили дети, и скорректировать их понимание, а с другой – улучшить последующее сотрудничество детей в парах (например, кто-то из них сделает для себя вывод, что напарника нужно слушать, запоминать сказанное им). На пер-вых ФПЗ (иногда и потом, когда потребует ситуация) педагог больше внимания уделяет организации работы в парах, а на последующих – важ-ным моментам содержания. </w:t>
      </w:r>
    </w:p>
    <w:p w14:paraId="0ADA2415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Приведём примеры вопросов, с которыми педагог обращается к кон-кретным парам: какой вопрос задал тебе напарник? Как ты на него отве-тил? Чем ты дополнил своего напарника? Чем помог тебе напарник? </w:t>
      </w:r>
    </w:p>
    <w:p w14:paraId="56DDB979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Перед началом следующего фронтально-парного цикла (т.е. нового фрагмента материала) можно сменить напарников или же продолжить взаимодействие в прежних парах – это зависит от складывающихся об-стоятельств. Уходящий партнёр освобождает своё рабочее место дру-гому. </w:t>
      </w:r>
    </w:p>
    <w:p w14:paraId="224A2019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Для организации смены партнёров не следует замыкать их в чет-вёрки и размещать вокруг одного стола – такая посадка разрушает пары. 124 </w:t>
      </w:r>
    </w:p>
    <w:p w14:paraId="7F7D9A27">
      <w:pPr>
        <w:pStyle w:val="4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92B397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Расстановку столов лучше сохранить прежней – рядами или сделать из них один большой круг.</w:t>
      </w:r>
    </w:p>
    <w:p w14:paraId="1FE3048D">
      <w:pPr>
        <w:rPr>
          <w:rFonts w:hint="default" w:ascii="Times New Roman" w:hAnsi="Times New Roman" w:cs="Times New Roman"/>
          <w:sz w:val="28"/>
          <w:szCs w:val="28"/>
        </w:rPr>
      </w:pPr>
    </w:p>
    <w:p w14:paraId="0E70A45C">
      <w:pPr>
        <w:rPr>
          <w:rFonts w:hint="default" w:ascii="Times New Roman" w:hAnsi="Times New Roman" w:cs="Times New Roman"/>
          <w:sz w:val="28"/>
          <w:szCs w:val="28"/>
        </w:rPr>
      </w:pPr>
    </w:p>
    <w:p w14:paraId="24A8BF0A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Задачи занятия</w:t>
      </w:r>
      <w:r>
        <w:rPr>
          <w:rFonts w:hint="default" w:ascii="Times New Roman" w:hAnsi="Times New Roman" w:cs="Times New Roman"/>
          <w:sz w:val="28"/>
          <w:szCs w:val="28"/>
        </w:rPr>
        <w:t xml:space="preserve">: уяснить значение математических знаков «больше», «меньше», «равно» и их использование в записи и чтении результатов сравнения количества предметов (сравнения путём составления пар предметов из разных групп).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Интеллектуальные действия будут выпол-няться в материализованной форме! </w:t>
      </w:r>
    </w:p>
    <w:p w14:paraId="2E4BE6B6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Демонстрационный материал</w:t>
      </w:r>
      <w:r>
        <w:rPr>
          <w:rFonts w:hint="default" w:ascii="Times New Roman" w:hAnsi="Times New Roman" w:cs="Times New Roman"/>
          <w:sz w:val="28"/>
          <w:szCs w:val="28"/>
        </w:rPr>
        <w:t xml:space="preserve">: три круглых магнита синего цвета, два зелёного. </w:t>
      </w:r>
    </w:p>
    <w:p w14:paraId="20ACA5E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Раздаточный материал на каждом столе</w:t>
      </w:r>
      <w:r>
        <w:rPr>
          <w:rFonts w:hint="default" w:ascii="Times New Roman" w:hAnsi="Times New Roman" w:cs="Times New Roman"/>
          <w:sz w:val="28"/>
          <w:szCs w:val="28"/>
        </w:rPr>
        <w:t>: два жёлтых и три зелёных листочка квадратной формы, лист бумаги для записей, ручка. Кроме того, слева на крышке каждого стола прикреплён красный круг – это ори-ентир для распределения детей по вариантам выполнения заданий в па-рах.</w:t>
      </w:r>
    </w:p>
    <w:p w14:paraId="0FC02247">
      <w:pPr>
        <w:rPr>
          <w:rFonts w:hint="default" w:ascii="Times New Roman" w:hAnsi="Times New Roman" w:cs="Times New Roman"/>
          <w:sz w:val="28"/>
          <w:szCs w:val="28"/>
        </w:rPr>
      </w:pPr>
    </w:p>
    <w:p w14:paraId="039886BC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Ход занятия </w:t>
      </w:r>
    </w:p>
    <w:p w14:paraId="5223044A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Педагог</w:t>
      </w:r>
      <w:r>
        <w:rPr>
          <w:rFonts w:hint="default" w:ascii="Times New Roman" w:hAnsi="Times New Roman" w:cs="Times New Roman"/>
          <w:sz w:val="28"/>
          <w:szCs w:val="28"/>
        </w:rPr>
        <w:t xml:space="preserve">: Здравствуйте, ребята! </w:t>
      </w:r>
    </w:p>
    <w:p w14:paraId="2B426FB1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Сегодня узнаем знаки «больше», «меньше», «равно» и поймем, для чего они нужны. </w:t>
      </w:r>
    </w:p>
    <w:p w14:paraId="2AEE4384"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Распределитесь на пары. (Дети делятся на пары и садятся за столы.)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8"/>
        <w:gridCol w:w="4769"/>
      </w:tblGrid>
      <w:tr w14:paraId="3308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537" w:type="dxa"/>
            <w:gridSpan w:val="2"/>
          </w:tcPr>
          <w:p w14:paraId="365785E9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 xml:space="preserve">Таблица 5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1-й фронтально-парный цикл </w:t>
            </w:r>
          </w:p>
        </w:tc>
      </w:tr>
      <w:tr w14:paraId="312D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768" w:type="dxa"/>
          </w:tcPr>
          <w:p w14:paraId="39E047E2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 xml:space="preserve">Говорится воспитателем </w:t>
            </w:r>
          </w:p>
        </w:tc>
        <w:tc>
          <w:tcPr>
            <w:tcW w:w="4768" w:type="dxa"/>
          </w:tcPr>
          <w:p w14:paraId="523BF3FA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 xml:space="preserve">Постепенно появля-ется на доске </w:t>
            </w:r>
          </w:p>
        </w:tc>
      </w:tr>
      <w:tr w14:paraId="2127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9537" w:type="dxa"/>
            <w:gridSpan w:val="2"/>
          </w:tcPr>
          <w:p w14:paraId="6FFC4144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Когда птенец хочет кушать, что он делает? («Он открывает клювик».) </w:t>
            </w:r>
          </w:p>
          <w:p w14:paraId="1BA9DA79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Как он открывает? (Педагог прикладывает ладошки друг другу, затем раздвигает кисти рук, прижимая в запястьях, имитируя тем самым открытый клюв птицы.) Взрослые птицы приносят птенцам еду, а малыши открывают свои клювы в ожидании пищи, поворачиваются открытым клюви-ком к взрослым птицам. </w:t>
            </w:r>
          </w:p>
          <w:p w14:paraId="7274B153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Взрослые птицы по размеру какие? («Большие».) А птенцы ка-кие? («Маленькие».) Давайте покажем, как птенцы открывают клювики. </w:t>
            </w:r>
          </w:p>
          <w:p w14:paraId="029C3216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сторону каких по размеру птиц открывают клювики ма-ленькие птенцы? («В сторону больших».) </w:t>
            </w:r>
          </w:p>
          <w:p w14:paraId="58100BDA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Ребята посмотрите, у меня есть магниты. Каких они цветов? («Зелёного и синего».) </w:t>
            </w:r>
          </w:p>
        </w:tc>
      </w:tr>
      <w:tr w14:paraId="3683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37" w:type="dxa"/>
            <w:gridSpan w:val="2"/>
          </w:tcPr>
          <w:p w14:paraId="0A60375B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Таня, подойди к доске. (Педагог даёт ей магниты.) Какого цвета вот эти магниты? («Синего».) Посчитай магниты, при-крепляя их на доску. Показывай, как считаешь. («Один, два, три».) </w:t>
            </w:r>
          </w:p>
        </w:tc>
      </w:tr>
      <w:tr w14:paraId="1102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537" w:type="dxa"/>
            <w:gridSpan w:val="2"/>
          </w:tcPr>
          <w:p w14:paraId="66E5FC94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Миша, подойди к доске. (Педагог передаёт ему магниты дру-гого цвета.) Какого цвета другие магниты? («Зелёного».) По-считай эти магниты, прикрепляя их на доску. Показывай, как считаешь. («Один, два».) </w:t>
            </w:r>
          </w:p>
        </w:tc>
      </w:tr>
      <w:tr w14:paraId="53F7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768" w:type="dxa"/>
          </w:tcPr>
          <w:p w14:paraId="7EA77643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Люда, подойди к доске. Посчитай синие магниты, запиши цифрой их число – под этими магнитами. Ребята, Люда пра-вильно написала? </w:t>
            </w:r>
          </w:p>
        </w:tc>
        <w:tc>
          <w:tcPr>
            <w:tcW w:w="4768" w:type="dxa"/>
          </w:tcPr>
          <w:p w14:paraId="6041862D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3 2 </w:t>
            </w:r>
          </w:p>
        </w:tc>
      </w:tr>
      <w:tr w14:paraId="520A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37" w:type="dxa"/>
            <w:gridSpan w:val="2"/>
          </w:tcPr>
          <w:p w14:paraId="2F875622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Стёпа, посчитай зелёные магниты, запиши цифрой их число – под этими магнитами. Ребята, Маша правильно написала? </w:t>
            </w:r>
          </w:p>
        </w:tc>
      </w:tr>
    </w:tbl>
    <w:p w14:paraId="2569374B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Serif">
    <w:altName w:val="Segoe Print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0B"/>
    <w:rsid w:val="000543F9"/>
    <w:rsid w:val="000F23D2"/>
    <w:rsid w:val="000F6AF2"/>
    <w:rsid w:val="005E6E50"/>
    <w:rsid w:val="0075043C"/>
    <w:rsid w:val="008575F8"/>
    <w:rsid w:val="00AF290B"/>
    <w:rsid w:val="7B1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PT Serif" w:hAnsi="PT Serif" w:cs="PT Serif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1261</Words>
  <Characters>7194</Characters>
  <Lines>59</Lines>
  <Paragraphs>16</Paragraphs>
  <TotalTime>8</TotalTime>
  <ScaleCrop>false</ScaleCrop>
  <LinksUpToDate>false</LinksUpToDate>
  <CharactersWithSpaces>8439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2024-06-19T07:20:00Z</dcterms:created>
  <dc:creator>User</dc:creator>
  <cp:lastModifiedBy>Сад-5</cp:lastModifiedBy>
  <dcterms:modified xsi:type="dcterms:W3CDTF">2025-01-29T05:26:26Z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39A0B4A2FABB47849ACCA95E32EC5318_12</vt:lpwstr>
  </property>
</Properties>
</file>